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9" w:rsidRDefault="00BC78FE">
      <w:pPr>
        <w:pStyle w:val="normal0"/>
        <w:jc w:val="center"/>
        <w:rPr>
          <w:rFonts w:ascii="Vidaloka" w:eastAsia="Vidaloka" w:hAnsi="Vidaloka" w:cs="Vidaloka"/>
          <w:b/>
          <w:color w:val="80036C"/>
          <w:sz w:val="36"/>
          <w:szCs w:val="36"/>
        </w:rPr>
      </w:pPr>
      <w:bookmarkStart w:id="0" w:name="_GoBack"/>
      <w:bookmarkEnd w:id="0"/>
      <w:r>
        <w:rPr>
          <w:rFonts w:ascii="Vidaloka" w:eastAsia="Vidaloka" w:hAnsi="Vidaloka" w:cs="Vidaloka"/>
          <w:b/>
          <w:color w:val="80036C"/>
          <w:sz w:val="36"/>
          <w:szCs w:val="36"/>
        </w:rPr>
        <w:t xml:space="preserve">LIEN ENTRE L’INUKSHUK, LE PAÉ ET </w:t>
      </w:r>
    </w:p>
    <w:p w:rsidR="00235749" w:rsidRDefault="00BC78FE">
      <w:pPr>
        <w:pStyle w:val="normal0"/>
        <w:jc w:val="center"/>
        <w:rPr>
          <w:rFonts w:ascii="Vidaloka" w:eastAsia="Vidaloka" w:hAnsi="Vidaloka" w:cs="Vidaloka"/>
          <w:b/>
          <w:color w:val="80036C"/>
          <w:sz w:val="36"/>
          <w:szCs w:val="36"/>
        </w:rPr>
      </w:pPr>
      <w:r>
        <w:rPr>
          <w:rFonts w:ascii="Vidaloka" w:eastAsia="Vidaloka" w:hAnsi="Vidaloka" w:cs="Vidaloka"/>
          <w:b/>
          <w:color w:val="80036C"/>
          <w:sz w:val="36"/>
          <w:szCs w:val="36"/>
        </w:rPr>
        <w:t>LA SÉQUENCE D’ENSEIGNEMENT ET D’APPRENTISSAGE</w:t>
      </w:r>
    </w:p>
    <w:p w:rsidR="00235749" w:rsidRDefault="00235749">
      <w:pPr>
        <w:pStyle w:val="normal0"/>
        <w:rPr>
          <w:rFonts w:ascii="Vidaloka" w:eastAsia="Vidaloka" w:hAnsi="Vidaloka" w:cs="Vidaloka"/>
          <w:color w:val="434343"/>
          <w:sz w:val="36"/>
          <w:szCs w:val="36"/>
        </w:rPr>
      </w:pPr>
    </w:p>
    <w:p w:rsidR="00235749" w:rsidRDefault="00BC78FE">
      <w:pPr>
        <w:pStyle w:val="normal0"/>
        <w:rPr>
          <w:rFonts w:ascii="Vidaloka" w:eastAsia="Vidaloka" w:hAnsi="Vidaloka" w:cs="Vidaloka"/>
          <w:color w:val="80036C"/>
          <w:sz w:val="36"/>
          <w:szCs w:val="36"/>
        </w:rPr>
      </w:pPr>
      <w:r>
        <w:rPr>
          <w:rFonts w:ascii="Vidaloka" w:eastAsia="Vidaloka" w:hAnsi="Vidaloka" w:cs="Vidaloka"/>
          <w:b/>
          <w:color w:val="80036C"/>
          <w:sz w:val="36"/>
          <w:szCs w:val="36"/>
        </w:rPr>
        <w:t>Vidéo</w:t>
      </w:r>
      <w:r>
        <w:rPr>
          <w:rFonts w:ascii="Vidaloka" w:eastAsia="Vidaloka" w:hAnsi="Vidaloka" w:cs="Vidaloka"/>
          <w:color w:val="80036C"/>
          <w:sz w:val="36"/>
          <w:szCs w:val="36"/>
        </w:rPr>
        <w:t>: cliquez sur l’image</w:t>
      </w:r>
    </w:p>
    <w:tbl>
      <w:tblPr>
        <w:tblStyle w:val="a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80"/>
        <w:gridCol w:w="3990"/>
      </w:tblGrid>
      <w:tr w:rsidR="00235749">
        <w:tc>
          <w:tcPr>
            <w:tcW w:w="6780" w:type="dxa"/>
            <w:tcBorders>
              <w:top w:val="single" w:sz="18" w:space="0" w:color="80036C"/>
              <w:left w:val="single" w:sz="18" w:space="0" w:color="80036C"/>
              <w:bottom w:val="single" w:sz="18" w:space="0" w:color="80036C"/>
              <w:right w:val="single" w:sz="18" w:space="0" w:color="80036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jc w:val="center"/>
              <w:rPr>
                <w:rFonts w:ascii="Vidaloka" w:eastAsia="Vidaloka" w:hAnsi="Vidaloka" w:cs="Vidaloka"/>
                <w:color w:val="434343"/>
                <w:sz w:val="36"/>
                <w:szCs w:val="36"/>
              </w:rPr>
            </w:pPr>
            <w:hyperlink r:id="rId6">
              <w:r>
                <w:rPr>
                  <w:rFonts w:ascii="Vidaloka" w:eastAsia="Vidaloka" w:hAnsi="Vidaloka" w:cs="Vidaloka"/>
                  <w:b/>
                  <w:noProof/>
                  <w:color w:val="1155CC"/>
                  <w:sz w:val="36"/>
                  <w:szCs w:val="36"/>
                  <w:u w:val="single"/>
                  <w:lang w:val="fr-FR"/>
                </w:rPr>
                <w:drawing>
                  <wp:inline distT="114300" distB="114300" distL="114300" distR="114300">
                    <wp:extent cx="4171950" cy="23241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71950" cy="23241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990" w:type="dxa"/>
            <w:tcBorders>
              <w:top w:val="single" w:sz="18" w:space="0" w:color="80036C"/>
              <w:left w:val="single" w:sz="18" w:space="0" w:color="80036C"/>
              <w:bottom w:val="single" w:sz="18" w:space="0" w:color="80036C"/>
              <w:right w:val="single" w:sz="18" w:space="0" w:color="80036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jc w:val="center"/>
              <w:rPr>
                <w:color w:val="80036C"/>
                <w:sz w:val="28"/>
                <w:szCs w:val="28"/>
              </w:rPr>
            </w:pPr>
            <w:r>
              <w:rPr>
                <w:noProof/>
                <w:color w:val="80036C"/>
                <w:sz w:val="28"/>
                <w:szCs w:val="28"/>
                <w:lang w:val="fr-FR"/>
              </w:rPr>
              <w:drawing>
                <wp:inline distT="19050" distB="19050" distL="19050" distR="19050">
                  <wp:extent cx="869200" cy="873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00" cy="87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5749" w:rsidRDefault="00BC78FE">
            <w:pPr>
              <w:pStyle w:val="normal0"/>
              <w:jc w:val="center"/>
              <w:rPr>
                <w:color w:val="80036C"/>
                <w:sz w:val="28"/>
                <w:szCs w:val="28"/>
              </w:rPr>
            </w:pPr>
            <w:r>
              <w:rPr>
                <w:color w:val="80036C"/>
                <w:sz w:val="28"/>
                <w:szCs w:val="28"/>
              </w:rPr>
              <w:t>Sylvie Tessier-Lacroix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jc w:val="center"/>
              <w:rPr>
                <w:color w:val="80036C"/>
                <w:sz w:val="28"/>
                <w:szCs w:val="28"/>
              </w:rPr>
            </w:pPr>
            <w:r>
              <w:rPr>
                <w:color w:val="80036C"/>
                <w:sz w:val="28"/>
                <w:szCs w:val="28"/>
              </w:rPr>
              <w:t>Directrice au SSA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jc w:val="center"/>
              <w:rPr>
                <w:color w:val="80036C"/>
                <w:sz w:val="28"/>
                <w:szCs w:val="28"/>
              </w:rPr>
            </w:pPr>
            <w:r>
              <w:rPr>
                <w:color w:val="80036C"/>
                <w:sz w:val="28"/>
                <w:szCs w:val="28"/>
              </w:rPr>
              <w:t>Leader du Cadre d’efficacité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jc w:val="center"/>
              <w:rPr>
                <w:color w:val="80036C"/>
                <w:sz w:val="28"/>
                <w:szCs w:val="28"/>
              </w:rPr>
            </w:pPr>
            <w:hyperlink r:id="rId9">
              <w:r>
                <w:rPr>
                  <w:color w:val="80036C"/>
                  <w:sz w:val="28"/>
                  <w:szCs w:val="28"/>
                  <w:u w:val="single"/>
                </w:rPr>
                <w:t>tessisy@ecolecatholique.ca</w:t>
              </w:r>
            </w:hyperlink>
          </w:p>
        </w:tc>
      </w:tr>
    </w:tbl>
    <w:p w:rsidR="00235749" w:rsidRDefault="00235749">
      <w:pPr>
        <w:pStyle w:val="normal0"/>
        <w:widowControl w:val="0"/>
        <w:spacing w:line="240" w:lineRule="auto"/>
        <w:rPr>
          <w:rFonts w:ascii="Vidaloka" w:eastAsia="Vidaloka" w:hAnsi="Vidaloka" w:cs="Vidaloka"/>
          <w:color w:val="434343"/>
          <w:sz w:val="36"/>
          <w:szCs w:val="36"/>
        </w:rPr>
      </w:pPr>
    </w:p>
    <w:p w:rsidR="00235749" w:rsidRDefault="00235749">
      <w:pPr>
        <w:pStyle w:val="normal0"/>
        <w:widowControl w:val="0"/>
        <w:spacing w:line="240" w:lineRule="auto"/>
        <w:rPr>
          <w:rFonts w:ascii="Vidaloka" w:eastAsia="Vidaloka" w:hAnsi="Vidaloka" w:cs="Vidaloka"/>
          <w:color w:val="434343"/>
          <w:sz w:val="36"/>
          <w:szCs w:val="36"/>
        </w:rPr>
      </w:pPr>
    </w:p>
    <w:p w:rsidR="00235749" w:rsidRDefault="00BC78FE">
      <w:pPr>
        <w:pStyle w:val="normal0"/>
        <w:widowControl w:val="0"/>
        <w:spacing w:line="240" w:lineRule="auto"/>
        <w:jc w:val="center"/>
        <w:rPr>
          <w:rFonts w:ascii="Vidaloka" w:eastAsia="Vidaloka" w:hAnsi="Vidaloka" w:cs="Vidaloka"/>
          <w:b/>
          <w:color w:val="80036C"/>
          <w:sz w:val="36"/>
          <w:szCs w:val="36"/>
        </w:rPr>
      </w:pPr>
      <w:r>
        <w:rPr>
          <w:rFonts w:ascii="Vidaloka" w:eastAsia="Vidaloka" w:hAnsi="Vidaloka" w:cs="Vidaloka"/>
          <w:color w:val="80036C"/>
          <w:sz w:val="36"/>
          <w:szCs w:val="36"/>
        </w:rPr>
        <w:t>Cliquez sur les titres pour accéder aux différents documents.</w:t>
      </w:r>
    </w:p>
    <w:tbl>
      <w:tblPr>
        <w:tblStyle w:val="a0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900"/>
        <w:gridCol w:w="3915"/>
      </w:tblGrid>
      <w:tr w:rsidR="00235749">
        <w:tc>
          <w:tcPr>
            <w:tcW w:w="2955" w:type="dxa"/>
            <w:shd w:val="clear" w:color="auto" w:fill="8003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daloka" w:eastAsia="Vidaloka" w:hAnsi="Vidaloka" w:cs="Vidaloka"/>
                <w:b/>
                <w:color w:val="FFFFFF"/>
                <w:sz w:val="36"/>
                <w:szCs w:val="36"/>
              </w:rPr>
            </w:pPr>
            <w:hyperlink r:id="rId10">
              <w:r>
                <w:rPr>
                  <w:rFonts w:ascii="Vidaloka" w:eastAsia="Vidaloka" w:hAnsi="Vidaloka" w:cs="Vidaloka"/>
                  <w:b/>
                  <w:color w:val="FFFFFF"/>
                  <w:sz w:val="36"/>
                  <w:szCs w:val="36"/>
                  <w:u w:val="single"/>
                </w:rPr>
                <w:t>L’inukshuk</w:t>
              </w:r>
            </w:hyperlink>
          </w:p>
        </w:tc>
        <w:tc>
          <w:tcPr>
            <w:tcW w:w="3900" w:type="dxa"/>
            <w:shd w:val="clear" w:color="auto" w:fill="8003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daloka" w:eastAsia="Vidaloka" w:hAnsi="Vidaloka" w:cs="Vidaloka"/>
                <w:b/>
                <w:color w:val="FFFFFF"/>
                <w:sz w:val="36"/>
                <w:szCs w:val="36"/>
              </w:rPr>
            </w:pPr>
            <w:hyperlink r:id="rId11">
              <w:r>
                <w:rPr>
                  <w:rFonts w:ascii="Vidaloka" w:eastAsia="Vidaloka" w:hAnsi="Vidaloka" w:cs="Vidaloka"/>
                  <w:b/>
                  <w:color w:val="FFFFFF"/>
                  <w:sz w:val="36"/>
                  <w:szCs w:val="36"/>
                  <w:u w:val="single"/>
                </w:rPr>
                <w:t>PAÉ</w:t>
              </w:r>
            </w:hyperlink>
          </w:p>
        </w:tc>
        <w:tc>
          <w:tcPr>
            <w:tcW w:w="3915" w:type="dxa"/>
            <w:shd w:val="clear" w:color="auto" w:fill="8003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daloka" w:eastAsia="Vidaloka" w:hAnsi="Vidaloka" w:cs="Vidaloka"/>
                <w:b/>
                <w:color w:val="FFFFFF"/>
                <w:sz w:val="36"/>
                <w:szCs w:val="36"/>
              </w:rPr>
            </w:pPr>
            <w:hyperlink r:id="rId12">
              <w:r>
                <w:rPr>
                  <w:rFonts w:ascii="Vidaloka" w:eastAsia="Vidaloka" w:hAnsi="Vidaloka" w:cs="Vidaloka"/>
                  <w:b/>
                  <w:color w:val="FFFFFF"/>
                  <w:sz w:val="36"/>
                  <w:szCs w:val="36"/>
                  <w:u w:val="single"/>
                </w:rPr>
                <w:t>Séquence</w:t>
              </w:r>
            </w:hyperlink>
          </w:p>
        </w:tc>
      </w:tr>
      <w:tr w:rsidR="00235749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Pierre 1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Résultats d’apprentissage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Impacts recherchés chez les élèves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Pratiques professionnelles 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>(planification de la cible)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Q1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voulons-nous que les élèves sachent, fassent, comprennent et communiquent? (Co-planification)</w:t>
            </w:r>
          </w:p>
          <w:p w:rsidR="00235749" w:rsidRDefault="00BC78FE">
            <w:pPr>
              <w:pStyle w:val="normal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idaloka" w:eastAsia="Vidaloka" w:hAnsi="Vidaloka" w:cs="Vidaloka"/>
                <w:color w:val="80036C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color w:val="80036C"/>
                <w:sz w:val="20"/>
                <w:szCs w:val="20"/>
                <w:highlight w:val="white"/>
              </w:rPr>
              <w:t>Comment engageons-nous nos élèves dans leur apprentissage?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</w:tc>
      </w:tr>
      <w:tr w:rsidR="00235749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Pierre 2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Critères d’évaluation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Impacts recherchés chez les élèves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Vidaloka" w:eastAsia="Vidaloka" w:hAnsi="Vidaloka" w:cs="Vidaloka"/>
                <w:b/>
                <w:i/>
                <w:sz w:val="24"/>
                <w:szCs w:val="24"/>
                <w:u w:val="single"/>
              </w:rPr>
              <w:t>Grille d’évaluation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Sache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: CC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Fasse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: MA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Comprenne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: HP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Communique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: CO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Pratiques professionnelles 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>(co-construction des critères)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Q2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Comment le saurons-nous? (Co-évaluation)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</w:tc>
      </w:tr>
      <w:tr w:rsidR="00235749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Pierre 3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Susciter des preuves d’apprentissage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Monitorage 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0"/>
                <w:szCs w:val="20"/>
              </w:rPr>
            </w:pP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 xml:space="preserve">                (triangulation)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Q3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ont appris? (Co-enseignement)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Q4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n’ont pas appris? (Co-enseignement)</w:t>
            </w:r>
          </w:p>
        </w:tc>
      </w:tr>
      <w:tr w:rsidR="00235749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Pierre 4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Rétroaction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Pratiques professionnelles 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 xml:space="preserve">(offrir une rétroaction descriptive 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lastRenderedPageBreak/>
              <w:t>en temps réel)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lastRenderedPageBreak/>
              <w:t>Q3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ont appris? (Co-enseignement)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Q4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n’ont pas appris? (Co-enseignement)</w:t>
            </w:r>
          </w:p>
        </w:tc>
      </w:tr>
      <w:tr w:rsidR="00235749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lastRenderedPageBreak/>
              <w:t>Pierre 5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Évaluation par les pairs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Monitorage 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0"/>
                <w:szCs w:val="20"/>
              </w:rPr>
            </w:pP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 xml:space="preserve">                (triangulation)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Q3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ont appris? (Co-enseignement)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Q4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n’ont pas appris? (Co-enseignement)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</w:tc>
      </w:tr>
      <w:tr w:rsidR="00235749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Pierre 6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Autoévaluation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Monitorage 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b/>
                <w:sz w:val="20"/>
                <w:szCs w:val="20"/>
              </w:rPr>
            </w:pP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 xml:space="preserve">                (triangulation)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Q3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ont appris? (Co-enseignement)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Q4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n’ont pas appris? (Co-enseignement)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</w:tc>
      </w:tr>
      <w:tr w:rsidR="00235749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Pierre 7</w:t>
            </w:r>
          </w:p>
          <w:p w:rsidR="00235749" w:rsidRDefault="00BC78F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Objectifs d’apprentissage personnels (élève)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>Objectifs d’apprentissage personnels (personnel)</w:t>
            </w:r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spacing w:line="240" w:lineRule="auto"/>
              <w:jc w:val="center"/>
              <w:rPr>
                <w:rFonts w:ascii="Vidaloka" w:eastAsia="Vidaloka" w:hAnsi="Vidaloka" w:cs="Vidaloka"/>
                <w:b/>
                <w:sz w:val="24"/>
                <w:szCs w:val="24"/>
              </w:rPr>
            </w:pPr>
            <w:hyperlink r:id="rId13">
              <w:r>
                <w:rPr>
                  <w:rFonts w:ascii="Vidaloka" w:eastAsia="Vidaloka" w:hAnsi="Vidaloka" w:cs="Vidaloka"/>
                  <w:color w:val="80036C"/>
                  <w:sz w:val="24"/>
                  <w:szCs w:val="24"/>
                  <w:u w:val="single"/>
                </w:rPr>
                <w:t>Diagramme du monitoring</w:t>
              </w:r>
            </w:hyperlink>
          </w:p>
          <w:p w:rsidR="00235749" w:rsidRDefault="002357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Monitorage 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b/>
                <w:sz w:val="20"/>
                <w:szCs w:val="20"/>
              </w:rPr>
            </w:pP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 xml:space="preserve">                (triangulation de la part du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br/>
              <w:t xml:space="preserve">                personnel face aux preuves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br/>
              <w:t xml:space="preserve">                d’apprentissa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>ge des élèves)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sz w:val="24"/>
                <w:szCs w:val="24"/>
              </w:rPr>
              <w:t xml:space="preserve">Monitorage </w:t>
            </w: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color w:val="80036C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t xml:space="preserve">                (triangulation de la part de la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br/>
              <w:t xml:space="preserve">                direction face aux pratiques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br/>
              <w:t xml:space="preserve">                professionnelles mises en</w:t>
            </w:r>
            <w:r>
              <w:rPr>
                <w:rFonts w:ascii="Vidaloka" w:eastAsia="Vidaloka" w:hAnsi="Vidaloka" w:cs="Vidaloka"/>
                <w:b/>
                <w:sz w:val="20"/>
                <w:szCs w:val="20"/>
              </w:rPr>
              <w:br/>
              <w:t xml:space="preserve">                oeuvre)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Q3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ont appris? (Co-enseignement)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Q4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 fait-on avec les élèves qui n’ont pas appris? (Co-enseignement)</w:t>
            </w:r>
          </w:p>
          <w:p w:rsidR="00235749" w:rsidRDefault="00235749">
            <w:pPr>
              <w:pStyle w:val="normal0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BC78FE">
            <w:pPr>
              <w:pStyle w:val="normal0"/>
              <w:rPr>
                <w:rFonts w:ascii="Vidaloka" w:eastAsia="Vidaloka" w:hAnsi="Vidaloka" w:cs="Vidaloka"/>
                <w:sz w:val="24"/>
                <w:szCs w:val="24"/>
              </w:rPr>
            </w:pPr>
            <w:r>
              <w:rPr>
                <w:rFonts w:ascii="Vidaloka" w:eastAsia="Vidaloka" w:hAnsi="Vidaloka" w:cs="Vidaloka"/>
                <w:b/>
                <w:sz w:val="24"/>
                <w:szCs w:val="24"/>
              </w:rPr>
              <w:t>Q5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. Quelle stratégie à haut rendement (pratique pédagogique efficace) a eu le plus d’impact sur le progrès et la réuss</w:t>
            </w:r>
            <w:r>
              <w:rPr>
                <w:rFonts w:ascii="Vidaloka" w:eastAsia="Vidaloka" w:hAnsi="Vidaloka" w:cs="Vidaloka"/>
                <w:sz w:val="24"/>
                <w:szCs w:val="24"/>
              </w:rPr>
              <w:t>ite des élèves? (Co-objectivation)</w:t>
            </w:r>
          </w:p>
          <w:p w:rsidR="00235749" w:rsidRDefault="00235749">
            <w:pPr>
              <w:pStyle w:val="normal0"/>
              <w:widowControl w:val="0"/>
              <w:spacing w:line="240" w:lineRule="auto"/>
              <w:rPr>
                <w:rFonts w:ascii="Vidaloka" w:eastAsia="Vidaloka" w:hAnsi="Vidaloka" w:cs="Vidaloka"/>
                <w:sz w:val="24"/>
                <w:szCs w:val="24"/>
              </w:rPr>
            </w:pPr>
          </w:p>
          <w:p w:rsidR="00235749" w:rsidRDefault="00235749">
            <w:pPr>
              <w:pStyle w:val="normal0"/>
              <w:widowControl w:val="0"/>
              <w:spacing w:line="240" w:lineRule="auto"/>
              <w:jc w:val="center"/>
              <w:rPr>
                <w:rFonts w:ascii="Vidaloka" w:eastAsia="Vidaloka" w:hAnsi="Vidaloka" w:cs="Vidaloka"/>
                <w:b/>
                <w:sz w:val="24"/>
                <w:szCs w:val="24"/>
              </w:rPr>
            </w:pPr>
          </w:p>
        </w:tc>
      </w:tr>
    </w:tbl>
    <w:p w:rsidR="00235749" w:rsidRDefault="00BC78FE">
      <w:pPr>
        <w:pStyle w:val="normal0"/>
        <w:rPr>
          <w:rFonts w:ascii="Vidaloka" w:eastAsia="Vidaloka" w:hAnsi="Vidaloka" w:cs="Vidaloka"/>
          <w:b/>
          <w:sz w:val="28"/>
          <w:szCs w:val="28"/>
        </w:rPr>
      </w:pPr>
      <w:r>
        <w:rPr>
          <w:rFonts w:ascii="Vidaloka" w:eastAsia="Vidaloka" w:hAnsi="Vidaloka" w:cs="Vidaloka"/>
          <w:b/>
          <w:sz w:val="28"/>
          <w:szCs w:val="28"/>
        </w:rPr>
        <w:t>Documents incontournables</w:t>
      </w:r>
    </w:p>
    <w:p w:rsidR="00235749" w:rsidRDefault="00BC78FE">
      <w:pPr>
        <w:pStyle w:val="normal0"/>
        <w:widowControl w:val="0"/>
        <w:spacing w:after="100" w:line="291" w:lineRule="auto"/>
        <w:rPr>
          <w:rFonts w:ascii="Vidaloka" w:eastAsia="Vidaloka" w:hAnsi="Vidaloka" w:cs="Vidaloka"/>
          <w:b/>
          <w:sz w:val="36"/>
          <w:szCs w:val="36"/>
        </w:rPr>
      </w:pPr>
      <w:hyperlink r:id="rId14">
        <w:r>
          <w:rPr>
            <w:color w:val="80036C"/>
            <w:sz w:val="28"/>
            <w:szCs w:val="28"/>
            <w:u w:val="single"/>
          </w:rPr>
          <w:t>L’inukshuk</w:t>
        </w:r>
      </w:hyperlink>
      <w:r>
        <w:rPr>
          <w:b/>
          <w:color w:val="80036C"/>
          <w:sz w:val="28"/>
          <w:szCs w:val="28"/>
        </w:rPr>
        <w:br/>
      </w:r>
      <w:r>
        <w:rPr>
          <w:b/>
          <w:color w:val="434343"/>
          <w:sz w:val="28"/>
          <w:szCs w:val="28"/>
        </w:rPr>
        <w:t>Facsicule 1</w:t>
      </w:r>
      <w:r>
        <w:rPr>
          <w:color w:val="434343"/>
          <w:sz w:val="28"/>
          <w:szCs w:val="28"/>
        </w:rPr>
        <w:t xml:space="preserve">: </w:t>
      </w:r>
      <w:hyperlink r:id="rId15">
        <w:r>
          <w:rPr>
            <w:color w:val="80036C"/>
            <w:sz w:val="28"/>
            <w:szCs w:val="28"/>
            <w:u w:val="single"/>
          </w:rPr>
          <w:t>Résultat d’apprentissage</w:t>
        </w:r>
      </w:hyperlink>
      <w:r>
        <w:rPr>
          <w:b/>
          <w:color w:val="434343"/>
          <w:sz w:val="28"/>
          <w:szCs w:val="28"/>
        </w:rPr>
        <w:br/>
        <w:t>Facsicule 2</w:t>
      </w:r>
      <w:r>
        <w:rPr>
          <w:color w:val="434343"/>
          <w:sz w:val="28"/>
          <w:szCs w:val="28"/>
        </w:rPr>
        <w:t xml:space="preserve">: </w:t>
      </w:r>
      <w:hyperlink r:id="rId16">
        <w:r>
          <w:rPr>
            <w:color w:val="80036C"/>
            <w:sz w:val="28"/>
            <w:szCs w:val="28"/>
            <w:u w:val="single"/>
          </w:rPr>
          <w:t>Co-construction de critères</w:t>
        </w:r>
      </w:hyperlink>
      <w:r>
        <w:rPr>
          <w:b/>
          <w:color w:val="434343"/>
          <w:sz w:val="28"/>
          <w:szCs w:val="28"/>
        </w:rPr>
        <w:br/>
        <w:t>Facsicule 3</w:t>
      </w:r>
      <w:r>
        <w:rPr>
          <w:color w:val="434343"/>
          <w:sz w:val="28"/>
          <w:szCs w:val="28"/>
        </w:rPr>
        <w:t xml:space="preserve">: </w:t>
      </w:r>
      <w:hyperlink r:id="rId17">
        <w:r>
          <w:rPr>
            <w:color w:val="80036C"/>
            <w:sz w:val="28"/>
            <w:szCs w:val="28"/>
            <w:u w:val="single"/>
          </w:rPr>
          <w:t>Preuves d’appre</w:t>
        </w:r>
        <w:r>
          <w:rPr>
            <w:color w:val="80036C"/>
            <w:sz w:val="28"/>
            <w:szCs w:val="28"/>
            <w:u w:val="single"/>
          </w:rPr>
          <w:t>ntissage</w:t>
        </w:r>
      </w:hyperlink>
      <w:r>
        <w:rPr>
          <w:b/>
          <w:color w:val="434343"/>
          <w:sz w:val="28"/>
          <w:szCs w:val="28"/>
        </w:rPr>
        <w:br/>
        <w:t>Facsicule 4</w:t>
      </w:r>
      <w:r>
        <w:rPr>
          <w:color w:val="434343"/>
          <w:sz w:val="28"/>
          <w:szCs w:val="28"/>
        </w:rPr>
        <w:t xml:space="preserve">: </w:t>
      </w:r>
      <w:hyperlink r:id="rId18">
        <w:r>
          <w:rPr>
            <w:color w:val="80036C"/>
            <w:sz w:val="28"/>
            <w:szCs w:val="28"/>
            <w:u w:val="single"/>
          </w:rPr>
          <w:t>Rétroaction</w:t>
        </w:r>
      </w:hyperlink>
      <w:r>
        <w:rPr>
          <w:b/>
          <w:color w:val="434343"/>
          <w:sz w:val="28"/>
          <w:szCs w:val="28"/>
        </w:rPr>
        <w:br/>
        <w:t>Facsicule 5</w:t>
      </w:r>
      <w:r>
        <w:rPr>
          <w:color w:val="434343"/>
          <w:sz w:val="28"/>
          <w:szCs w:val="28"/>
        </w:rPr>
        <w:t xml:space="preserve">: </w:t>
      </w:r>
      <w:hyperlink r:id="rId19">
        <w:r>
          <w:rPr>
            <w:color w:val="80036C"/>
            <w:sz w:val="28"/>
            <w:szCs w:val="28"/>
            <w:u w:val="single"/>
          </w:rPr>
          <w:t>Évaluation par les pairs</w:t>
        </w:r>
      </w:hyperlink>
      <w:r>
        <w:rPr>
          <w:b/>
          <w:color w:val="434343"/>
          <w:sz w:val="28"/>
          <w:szCs w:val="28"/>
        </w:rPr>
        <w:br/>
        <w:t>Facsicule 6</w:t>
      </w:r>
      <w:r>
        <w:rPr>
          <w:color w:val="434343"/>
          <w:sz w:val="28"/>
          <w:szCs w:val="28"/>
        </w:rPr>
        <w:t xml:space="preserve">: </w:t>
      </w:r>
      <w:hyperlink r:id="rId20">
        <w:r>
          <w:rPr>
            <w:color w:val="80036C"/>
            <w:sz w:val="28"/>
            <w:szCs w:val="28"/>
            <w:u w:val="single"/>
          </w:rPr>
          <w:t>Autoévaluation</w:t>
        </w:r>
      </w:hyperlink>
      <w:r>
        <w:rPr>
          <w:b/>
          <w:color w:val="434343"/>
          <w:sz w:val="28"/>
          <w:szCs w:val="28"/>
        </w:rPr>
        <w:br/>
        <w:t>Facsicule 7</w:t>
      </w:r>
      <w:r>
        <w:rPr>
          <w:color w:val="434343"/>
          <w:sz w:val="28"/>
          <w:szCs w:val="28"/>
        </w:rPr>
        <w:t xml:space="preserve">: </w:t>
      </w:r>
      <w:hyperlink r:id="rId21">
        <w:r>
          <w:rPr>
            <w:color w:val="80036C"/>
            <w:sz w:val="28"/>
            <w:szCs w:val="28"/>
            <w:u w:val="single"/>
          </w:rPr>
          <w:t>Objectif d’apprentissage personnel</w:t>
        </w:r>
      </w:hyperlink>
      <w:r>
        <w:br/>
      </w:r>
      <w:hyperlink r:id="rId22">
        <w:r>
          <w:rPr>
            <w:color w:val="80036C"/>
            <w:sz w:val="28"/>
            <w:szCs w:val="28"/>
            <w:u w:val="single"/>
          </w:rPr>
          <w:t>L’inukshuk : pour mettre l’élève au centre de son apprentissage</w:t>
        </w:r>
      </w:hyperlink>
    </w:p>
    <w:sectPr w:rsidR="00235749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idalok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EC1"/>
    <w:multiLevelType w:val="multilevel"/>
    <w:tmpl w:val="AD925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68F0FE5"/>
    <w:multiLevelType w:val="multilevel"/>
    <w:tmpl w:val="EF8ED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6743EB"/>
    <w:multiLevelType w:val="multilevel"/>
    <w:tmpl w:val="B4D24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4B64FBB"/>
    <w:multiLevelType w:val="multilevel"/>
    <w:tmpl w:val="D9983B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20B3EB5"/>
    <w:multiLevelType w:val="multilevel"/>
    <w:tmpl w:val="C0CCD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C0A4287"/>
    <w:multiLevelType w:val="multilevel"/>
    <w:tmpl w:val="035097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B6F59CE"/>
    <w:multiLevelType w:val="multilevel"/>
    <w:tmpl w:val="DB166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3D7604F"/>
    <w:multiLevelType w:val="multilevel"/>
    <w:tmpl w:val="0E260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5749"/>
    <w:rsid w:val="00235749"/>
    <w:rsid w:val="00B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78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78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tessisy@ecolecatholique.ca" TargetMode="External"/><Relationship Id="rId20" Type="http://schemas.openxmlformats.org/officeDocument/2006/relationships/hyperlink" Target="https://drive.google.com/open?id=0Bz00rug9iQgwNXR0VFFSbW9QUVU" TargetMode="External"/><Relationship Id="rId21" Type="http://schemas.openxmlformats.org/officeDocument/2006/relationships/hyperlink" Target="https://drive.google.com/open?id=0Bz00rug9iQgwQWpiV0lvZzg4WFE" TargetMode="External"/><Relationship Id="rId22" Type="http://schemas.openxmlformats.org/officeDocument/2006/relationships/hyperlink" Target="https://docs.google.com/document/d/1Xq7K0jO3T_fj3yuv5EzK_ldUqPu8A8hBfwLt3g7VOtE/edit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rive.google.com/open?id=0Bz00rug9iQgwVzhWTFVFWnNLRkk" TargetMode="External"/><Relationship Id="rId11" Type="http://schemas.openxmlformats.org/officeDocument/2006/relationships/hyperlink" Target="https://docs.google.com/document/d/1QG_YbyQjB9s5i7sCzY6oSb9c_49kMw46XNajEwZk1E8/edit" TargetMode="External"/><Relationship Id="rId12" Type="http://schemas.openxmlformats.org/officeDocument/2006/relationships/hyperlink" Target="https://drive.google.com/open?id=1kPO_En6L0RudKeIzLlvKIA1o02fzUejBzqVuR1T-0-0" TargetMode="External"/><Relationship Id="rId13" Type="http://schemas.openxmlformats.org/officeDocument/2006/relationships/hyperlink" Target="https://docs.google.com/document/d/1wvhxmFEOuzFeNZ2ioUQ_JctH1h0U43725q5zhfwR-yc/edit" TargetMode="External"/><Relationship Id="rId14" Type="http://schemas.openxmlformats.org/officeDocument/2006/relationships/hyperlink" Target="https://drive.google.com/open?id=0Bz00rug9iQgwVzhWTFVFWnNLRkk" TargetMode="External"/><Relationship Id="rId15" Type="http://schemas.openxmlformats.org/officeDocument/2006/relationships/hyperlink" Target="https://drive.google.com/open?id=0Bz00rug9iQgwR3diMTRBSGdNQkE" TargetMode="External"/><Relationship Id="rId16" Type="http://schemas.openxmlformats.org/officeDocument/2006/relationships/hyperlink" Target="https://drive.google.com/open?id=0Bz00rug9iQgwNElqTnZpeFh5c2c" TargetMode="External"/><Relationship Id="rId17" Type="http://schemas.openxmlformats.org/officeDocument/2006/relationships/hyperlink" Target="https://drive.google.com/open?id=0Bz00rug9iQgwQzR4ZTNiMVFnZ00" TargetMode="External"/><Relationship Id="rId18" Type="http://schemas.openxmlformats.org/officeDocument/2006/relationships/hyperlink" Target="https://drive.google.com/open?id=0Bz00rug9iQgwb2pQWm00UGdzMDQ" TargetMode="External"/><Relationship Id="rId19" Type="http://schemas.openxmlformats.org/officeDocument/2006/relationships/hyperlink" Target="https://drive.google.com/open?id=0Bz00rug9iQgwQ3RFeW83b3Iya2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open?id=10jdzdJi6iVzvhwZ8MNh6n7lkkXpxjp5J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3485</Characters>
  <Application>Microsoft Macintosh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Maryline</cp:lastModifiedBy>
  <cp:revision>2</cp:revision>
  <dcterms:created xsi:type="dcterms:W3CDTF">2019-08-30T14:33:00Z</dcterms:created>
  <dcterms:modified xsi:type="dcterms:W3CDTF">2019-08-30T14:33:00Z</dcterms:modified>
</cp:coreProperties>
</file>