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0A" w:rsidRPr="008910A8" w:rsidRDefault="0085730A" w:rsidP="0085730A">
      <w:pPr>
        <w:pStyle w:val="NormalWeb"/>
        <w:rPr>
          <w:rFonts w:ascii="Century Gothic" w:hAnsi="Century Gothic"/>
          <w:sz w:val="28"/>
          <w:szCs w:val="28"/>
        </w:rPr>
      </w:pPr>
      <w:r w:rsidRPr="008910A8">
        <w:rPr>
          <w:rStyle w:val="lev"/>
          <w:rFonts w:ascii="Century Gothic" w:hAnsi="Century Gothic"/>
          <w:sz w:val="28"/>
          <w:szCs w:val="28"/>
        </w:rPr>
        <w:t>Accueillir</w:t>
      </w:r>
    </w:p>
    <w:p w:rsidR="0085730A" w:rsidRPr="008910A8" w:rsidRDefault="0085730A" w:rsidP="0085730A">
      <w:pPr>
        <w:pStyle w:val="NormalWeb"/>
        <w:rPr>
          <w:rFonts w:ascii="Century Gothic" w:hAnsi="Century Gothic"/>
        </w:rPr>
      </w:pPr>
      <w:r w:rsidRPr="008910A8">
        <w:rPr>
          <w:rFonts w:ascii="Century Gothic" w:hAnsi="Century Gothic"/>
        </w:rPr>
        <w:t>Accueillir tout simplement le jour qui vient</w:t>
      </w:r>
      <w:r w:rsidRPr="008910A8">
        <w:rPr>
          <w:rFonts w:ascii="Century Gothic" w:hAnsi="Century Gothic"/>
        </w:rPr>
        <w:br/>
        <w:t>et le salut du voisin.</w:t>
      </w:r>
      <w:r w:rsidRPr="008910A8">
        <w:rPr>
          <w:rFonts w:ascii="Century Gothic" w:hAnsi="Century Gothic"/>
        </w:rPr>
        <w:br/>
        <w:t>Accueillir le bonheur qui se présente</w:t>
      </w:r>
      <w:r w:rsidRPr="008910A8">
        <w:rPr>
          <w:rFonts w:ascii="Century Gothic" w:hAnsi="Century Gothic"/>
        </w:rPr>
        <w:br/>
        <w:t>et le malheur qui s’abat.</w:t>
      </w:r>
      <w:r w:rsidRPr="008910A8">
        <w:rPr>
          <w:rFonts w:ascii="Century Gothic" w:hAnsi="Century Gothic"/>
        </w:rPr>
        <w:br/>
        <w:t>Accueillir le frère qu’on attendait</w:t>
      </w:r>
      <w:r w:rsidRPr="008910A8">
        <w:rPr>
          <w:rFonts w:ascii="Century Gothic" w:hAnsi="Century Gothic"/>
        </w:rPr>
        <w:br/>
        <w:t>et l’« ami » qu’on n’attendait pas.</w:t>
      </w:r>
      <w:r w:rsidRPr="008910A8">
        <w:rPr>
          <w:rFonts w:ascii="Century Gothic" w:hAnsi="Century Gothic"/>
        </w:rPr>
        <w:br/>
        <w:t>Accueillir la chaleur et la soif,</w:t>
      </w:r>
      <w:r w:rsidRPr="008910A8">
        <w:rPr>
          <w:rFonts w:ascii="Century Gothic" w:hAnsi="Century Gothic"/>
        </w:rPr>
        <w:br/>
        <w:t>le froid et la faim,</w:t>
      </w:r>
      <w:r w:rsidRPr="008910A8">
        <w:rPr>
          <w:rFonts w:ascii="Century Gothic" w:hAnsi="Century Gothic"/>
        </w:rPr>
        <w:br/>
        <w:t>mais aussi l’abondance démesurée de la viande,</w:t>
      </w:r>
      <w:r w:rsidRPr="008910A8">
        <w:rPr>
          <w:rFonts w:ascii="Century Gothic" w:hAnsi="Century Gothic"/>
        </w:rPr>
        <w:br/>
        <w:t>les jours où l’on fait la fête.</w:t>
      </w:r>
      <w:r w:rsidRPr="008910A8">
        <w:rPr>
          <w:rFonts w:ascii="Century Gothic" w:hAnsi="Century Gothic"/>
        </w:rPr>
        <w:br/>
        <w:t>Accueillir le mystère de l’existence,</w:t>
      </w:r>
      <w:bookmarkStart w:id="0" w:name="_GoBack"/>
      <w:bookmarkEnd w:id="0"/>
      <w:r w:rsidRPr="008910A8">
        <w:rPr>
          <w:rFonts w:ascii="Century Gothic" w:hAnsi="Century Gothic"/>
        </w:rPr>
        <w:br/>
        <w:t>de la nature, de la vie, de la mort,</w:t>
      </w:r>
      <w:r w:rsidRPr="008910A8">
        <w:rPr>
          <w:rFonts w:ascii="Century Gothic" w:hAnsi="Century Gothic"/>
        </w:rPr>
        <w:br/>
        <w:t>et l’avenir venu de Dieu.</w:t>
      </w:r>
      <w:r w:rsidRPr="008910A8">
        <w:rPr>
          <w:rFonts w:ascii="Century Gothic" w:hAnsi="Century Gothic"/>
        </w:rPr>
        <w:br/>
        <w:t>Accueillir le monde comme un don</w:t>
      </w:r>
      <w:r w:rsidRPr="008910A8">
        <w:rPr>
          <w:rFonts w:ascii="Century Gothic" w:hAnsi="Century Gothic"/>
        </w:rPr>
        <w:br/>
        <w:t>Qu’on reçoit tous ensemble,</w:t>
      </w:r>
      <w:r w:rsidRPr="008910A8">
        <w:rPr>
          <w:rFonts w:ascii="Century Gothic" w:hAnsi="Century Gothic"/>
        </w:rPr>
        <w:br/>
        <w:t>et non comme une proie</w:t>
      </w:r>
      <w:r w:rsidRPr="008910A8">
        <w:rPr>
          <w:rFonts w:ascii="Century Gothic" w:hAnsi="Century Gothic"/>
        </w:rPr>
        <w:br/>
        <w:t>qu’on s’arrache.</w:t>
      </w:r>
      <w:r w:rsidRPr="008910A8">
        <w:rPr>
          <w:rFonts w:ascii="Century Gothic" w:hAnsi="Century Gothic"/>
        </w:rPr>
        <w:br/>
        <w:t>Accueillir la vie avec un cœur d’enfant</w:t>
      </w:r>
      <w:r w:rsidRPr="008910A8">
        <w:rPr>
          <w:rFonts w:ascii="Century Gothic" w:hAnsi="Century Gothic"/>
        </w:rPr>
        <w:br/>
        <w:t>une confiance spontanée,</w:t>
      </w:r>
      <w:r w:rsidRPr="008910A8">
        <w:rPr>
          <w:rFonts w:ascii="Century Gothic" w:hAnsi="Century Gothic"/>
        </w:rPr>
        <w:br/>
        <w:t>une capacité inlassable de toujours recommencer,</w:t>
      </w:r>
      <w:r w:rsidRPr="008910A8">
        <w:rPr>
          <w:rFonts w:ascii="Century Gothic" w:hAnsi="Century Gothic"/>
        </w:rPr>
        <w:br/>
        <w:t>une fois paisible en l’avenir.</w:t>
      </w:r>
    </w:p>
    <w:p w:rsidR="0085730A" w:rsidRPr="008910A8" w:rsidRDefault="0085730A" w:rsidP="0085730A">
      <w:pPr>
        <w:pStyle w:val="NormalWeb"/>
        <w:rPr>
          <w:rFonts w:ascii="Century Gothic" w:hAnsi="Century Gothic"/>
          <w:b/>
          <w:sz w:val="20"/>
          <w:szCs w:val="20"/>
        </w:rPr>
      </w:pPr>
      <w:r w:rsidRPr="008910A8">
        <w:rPr>
          <w:rStyle w:val="Accentuation"/>
          <w:rFonts w:ascii="Century Gothic" w:hAnsi="Century Gothic"/>
          <w:b/>
          <w:sz w:val="20"/>
          <w:szCs w:val="20"/>
        </w:rPr>
        <w:t xml:space="preserve">Hervé de </w:t>
      </w:r>
      <w:proofErr w:type="spellStart"/>
      <w:r w:rsidRPr="008910A8">
        <w:rPr>
          <w:rStyle w:val="Accentuation"/>
          <w:rFonts w:ascii="Century Gothic" w:hAnsi="Century Gothic"/>
          <w:b/>
          <w:sz w:val="20"/>
          <w:szCs w:val="20"/>
        </w:rPr>
        <w:t>Bellefon</w:t>
      </w:r>
      <w:proofErr w:type="spellEnd"/>
    </w:p>
    <w:p w:rsidR="004072FF" w:rsidRDefault="004072FF"/>
    <w:sectPr w:rsidR="0040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0A"/>
    <w:rsid w:val="004072FF"/>
    <w:rsid w:val="0085730A"/>
    <w:rsid w:val="008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7E601-1C7F-40D2-B2AA-EFC6A75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573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57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Fourrier Laurence</cp:lastModifiedBy>
  <cp:revision>2</cp:revision>
  <dcterms:created xsi:type="dcterms:W3CDTF">2016-12-19T10:17:00Z</dcterms:created>
  <dcterms:modified xsi:type="dcterms:W3CDTF">2016-12-19T10:17:00Z</dcterms:modified>
</cp:coreProperties>
</file>