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7C" w:rsidRPr="00B04717" w:rsidRDefault="0098680C">
      <w:pPr>
        <w:rPr>
          <w:rFonts w:ascii="Century Gothic" w:hAnsi="Century Gothic"/>
          <w:b/>
          <w:sz w:val="32"/>
          <w:szCs w:val="32"/>
        </w:rPr>
      </w:pPr>
      <w:r w:rsidRPr="00B04717">
        <w:rPr>
          <w:rFonts w:ascii="Century Gothic" w:hAnsi="Century Gothic"/>
          <w:b/>
          <w:sz w:val="32"/>
          <w:szCs w:val="32"/>
        </w:rPr>
        <w:t>Fidélité et</w:t>
      </w:r>
      <w:r w:rsidR="00922037" w:rsidRPr="00B04717">
        <w:rPr>
          <w:rFonts w:ascii="Century Gothic" w:hAnsi="Century Gothic"/>
          <w:b/>
          <w:sz w:val="32"/>
          <w:szCs w:val="32"/>
        </w:rPr>
        <w:t xml:space="preserve"> confiance</w:t>
      </w:r>
      <w:bookmarkStart w:id="0" w:name="_GoBack"/>
      <w:bookmarkEnd w:id="0"/>
    </w:p>
    <w:p w:rsidR="00922037" w:rsidRPr="00B04717" w:rsidRDefault="00922037">
      <w:pPr>
        <w:rPr>
          <w:rFonts w:ascii="Century Gothic" w:hAnsi="Century Gothic"/>
          <w:sz w:val="24"/>
          <w:szCs w:val="24"/>
        </w:rPr>
      </w:pPr>
      <w:r w:rsidRPr="00B04717">
        <w:rPr>
          <w:rFonts w:ascii="Century Gothic" w:hAnsi="Century Gothic"/>
          <w:sz w:val="24"/>
          <w:szCs w:val="24"/>
        </w:rPr>
        <w:t>Fidélité se conjugue avec confiance, avec foi : il s’agit de se fier à un autre, de lui fa</w:t>
      </w:r>
      <w:r w:rsidR="004A73DB" w:rsidRPr="00B04717">
        <w:rPr>
          <w:rFonts w:ascii="Century Gothic" w:hAnsi="Century Gothic"/>
          <w:sz w:val="24"/>
          <w:szCs w:val="24"/>
        </w:rPr>
        <w:t>i</w:t>
      </w:r>
      <w:r w:rsidRPr="00B04717">
        <w:rPr>
          <w:rFonts w:ascii="Century Gothic" w:hAnsi="Century Gothic"/>
          <w:sz w:val="24"/>
          <w:szCs w:val="24"/>
        </w:rPr>
        <w:t>re</w:t>
      </w:r>
      <w:r w:rsidR="004A73DB" w:rsidRPr="00B04717">
        <w:rPr>
          <w:rFonts w:ascii="Century Gothic" w:hAnsi="Century Gothic"/>
          <w:sz w:val="24"/>
          <w:szCs w:val="24"/>
        </w:rPr>
        <w:t xml:space="preserve"> crédit</w:t>
      </w:r>
      <w:r w:rsidR="00384750" w:rsidRPr="00B04717">
        <w:rPr>
          <w:rFonts w:ascii="Century Gothic" w:hAnsi="Century Gothic"/>
          <w:sz w:val="24"/>
          <w:szCs w:val="24"/>
        </w:rPr>
        <w:t>. Et dans nos sociétés qui vivent à crédit dans nombre de domaines, la fidélité semble une vertu  inutile, désuète, impropre à affronter notre époque à affronter notre époque. Car le crédit actuel repose plus sur la tromperie que sur la vérité. Faire véritablement crédit à quelqu’un, c’est engager une relation de confiance qui est certainement l’un des biens les plus précieux de notre humanité. Cette relation de confiance est une manière simple de donner à l’autre sa place en lui donnant ce que nous ne pouvons fonder par nous-mêmes, c’est-à-dire en reconnaissant qu’il est un être humain digne de respect et non pas un objet manipulable selon nos instincts et nos folies, selon nos émotions et nos envies.</w:t>
      </w:r>
    </w:p>
    <w:p w:rsidR="0098680C" w:rsidRPr="00B04717" w:rsidRDefault="0098680C">
      <w:pPr>
        <w:rPr>
          <w:rFonts w:ascii="Century Gothic" w:hAnsi="Century Gothic"/>
          <w:sz w:val="24"/>
          <w:szCs w:val="24"/>
        </w:rPr>
      </w:pPr>
      <w:r w:rsidRPr="00B04717">
        <w:rPr>
          <w:rFonts w:ascii="Century Gothic" w:hAnsi="Century Gothic"/>
          <w:sz w:val="24"/>
          <w:szCs w:val="24"/>
        </w:rPr>
        <w:t xml:space="preserve">           (Gérard </w:t>
      </w:r>
      <w:proofErr w:type="spellStart"/>
      <w:r w:rsidRPr="00B04717">
        <w:rPr>
          <w:rFonts w:ascii="Century Gothic" w:hAnsi="Century Gothic"/>
          <w:sz w:val="24"/>
          <w:szCs w:val="24"/>
        </w:rPr>
        <w:t>Bailhache</w:t>
      </w:r>
      <w:proofErr w:type="spellEnd"/>
      <w:r w:rsidRPr="00B04717">
        <w:rPr>
          <w:rFonts w:ascii="Century Gothic" w:hAnsi="Century Gothic"/>
          <w:sz w:val="24"/>
          <w:szCs w:val="24"/>
        </w:rPr>
        <w:t>, « Christus »</w:t>
      </w:r>
      <w:r w:rsidR="003066C1" w:rsidRPr="00B04717">
        <w:rPr>
          <w:rFonts w:ascii="Century Gothic" w:hAnsi="Century Gothic"/>
          <w:sz w:val="24"/>
          <w:szCs w:val="24"/>
        </w:rPr>
        <w:t>, n°169, janvier 1996, pp. 33-34)</w:t>
      </w:r>
    </w:p>
    <w:sectPr w:rsidR="0098680C" w:rsidRPr="00B0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70"/>
    <w:rsid w:val="003066C1"/>
    <w:rsid w:val="00384750"/>
    <w:rsid w:val="004A73DB"/>
    <w:rsid w:val="00922037"/>
    <w:rsid w:val="0098680C"/>
    <w:rsid w:val="00B04717"/>
    <w:rsid w:val="00CE047C"/>
    <w:rsid w:val="00F9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7261-6D06-474C-AFFD-66EF7E6A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NAMUR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Jacquet</dc:creator>
  <cp:keywords/>
  <dc:description/>
  <cp:lastModifiedBy>Laurence Fourrier</cp:lastModifiedBy>
  <cp:revision>2</cp:revision>
  <dcterms:created xsi:type="dcterms:W3CDTF">2016-04-25T07:59:00Z</dcterms:created>
  <dcterms:modified xsi:type="dcterms:W3CDTF">2016-04-25T07:59:00Z</dcterms:modified>
</cp:coreProperties>
</file>